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0"/>
        </w:rPr>
        <w:t xml:space="preserve">Lesson 5 (Naanan): Medicine Wheel Kit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page">
              <wp:posOffset>1238250</wp:posOffset>
            </wp:positionV>
            <wp:extent cx="5943600" cy="169545"/>
            <wp:effectExtent b="0" l="0" r="0" t="0"/>
            <wp:wrapNone/>
            <wp:docPr descr="C:\Users\labramson\AppData\Local\Microsoft\Windows\Temporary Internet Files\Content.Outlook\B6UCJ487\Border1.bmp" id="10" name="image1.png"/>
            <a:graphic>
              <a:graphicData uri="http://schemas.openxmlformats.org/drawingml/2006/picture">
                <pic:pic>
                  <pic:nvPicPr>
                    <pic:cNvPr descr="C:\Users\labramson\AppData\Local\Microsoft\Windows\Temporary Internet Files\Content.Outlook\B6UCJ487\Border1.b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Activity- Medicine Wheel Elements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Use the blank Medicine Wheel coloring pages and have the child color the different elements from the Medicine Wheel.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These pages are to help reinforce the teachings of the Medicine Wheel while allowing the child to explore it and practice their skills.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color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does not have to be perfect.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It is important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talk and encourage them as they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color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You can talk about the Medicine Wheel while they are coloring, and aid them in choosing colors if needed.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If you need a reference, you can use the Medicine Wheel Book that was given at the beginning of Gikinawaabi.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Assist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the child if they need help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holding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coloring utensil.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Refer to the “How to hold a Pencil/Crayon” tip sheet if needed.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961DA3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961DA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YqylI09mVW0EVcB2iBSoel7vJQ==">AMUW2mVo3McE+5nx3SKLaai/Z/8+2LHfa3M4i2U37qulxj4gBMcOKRNLVN6233ek//uVhmkYxVMgi/R9cPQ7HJpH0Z3ItRFTKb/mYwiEVc7vS4fIJ/HefIBuKPQAOwbsYFHhmV4cDAgU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2020-08-13T14:00:00Z</dcterms:created>
  <dc:creator>Courtney CP. Pasek</dc:creator>
</cp:coreProperties>
</file>